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7650" w14:textId="4565FF75" w:rsidR="0000665C" w:rsidRPr="00F43854" w:rsidRDefault="0000665C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t>Fall 2019/Spring 2020</w:t>
      </w:r>
      <w:r w:rsidR="00F43854">
        <w:rPr>
          <w:b/>
          <w:bCs/>
          <w:lang w:val="en-US"/>
        </w:rPr>
        <w:t>/Fall 2020</w:t>
      </w:r>
    </w:p>
    <w:p w14:paraId="57966B31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Dearie, J. P., editor, “2018 Excess and Surplus Lines Laws in the</w:t>
      </w:r>
    </w:p>
    <w:p w14:paraId="409B1343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United States,” Locke Lord LLP, pp. ii-iv (stop at Calculation of</w:t>
      </w:r>
    </w:p>
    <w:p w14:paraId="10E24228" w14:textId="183ED0BA" w:rsidR="0000665C" w:rsidRDefault="0000665C" w:rsidP="0000665C">
      <w:pPr>
        <w:rPr>
          <w:lang w:val="en-US"/>
        </w:rPr>
      </w:pPr>
      <w:r w:rsidRPr="0000665C">
        <w:rPr>
          <w:lang w:val="en-US"/>
        </w:rPr>
        <w:t>Surplus Lines Taxes Under NRRA)</w:t>
      </w:r>
    </w:p>
    <w:p w14:paraId="7CF02149" w14:textId="77777777" w:rsidR="0000665C" w:rsidRDefault="0000665C" w:rsidP="0000665C">
      <w:pPr>
        <w:rPr>
          <w:lang w:val="en-US"/>
        </w:rPr>
      </w:pPr>
    </w:p>
    <w:p w14:paraId="523626B4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Horn, D. and Webel, B., “Private Flood Insurance and the National</w:t>
      </w:r>
    </w:p>
    <w:p w14:paraId="0277B829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Flood Insurance Program” July 31, 2018, Congressional Research</w:t>
      </w:r>
    </w:p>
    <w:p w14:paraId="18CFA5E7" w14:textId="45E0BE88" w:rsidR="0000665C" w:rsidRDefault="0000665C" w:rsidP="0000665C">
      <w:pPr>
        <w:rPr>
          <w:lang w:val="en-US"/>
        </w:rPr>
      </w:pPr>
      <w:r w:rsidRPr="0000665C">
        <w:rPr>
          <w:lang w:val="en-US"/>
        </w:rPr>
        <w:t>Service R45242, pp. 1-19.</w:t>
      </w:r>
    </w:p>
    <w:p w14:paraId="4E769893" w14:textId="77777777" w:rsidR="00F43854" w:rsidRDefault="00F43854" w:rsidP="0000665C">
      <w:pPr>
        <w:rPr>
          <w:lang w:val="en-US"/>
        </w:rPr>
      </w:pPr>
    </w:p>
    <w:p w14:paraId="46372F92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Vaughn, T., “The Economic Crisis and Lessons from (and for) U.S.</w:t>
      </w:r>
    </w:p>
    <w:p w14:paraId="4E28CB08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Insurance Regulation,” Journal of Insurance Regulation, Fall 2009,</w:t>
      </w:r>
    </w:p>
    <w:p w14:paraId="1A0282D3" w14:textId="0E01C754" w:rsidR="0000665C" w:rsidRDefault="0000665C" w:rsidP="0000665C">
      <w:pPr>
        <w:rPr>
          <w:lang w:val="en-US"/>
        </w:rPr>
      </w:pPr>
      <w:proofErr w:type="gramStart"/>
      <w:r w:rsidRPr="0000665C">
        <w:rPr>
          <w:lang w:val="en-US"/>
        </w:rPr>
        <w:t>pp</w:t>
      </w:r>
      <w:proofErr w:type="gramEnd"/>
      <w:r w:rsidRPr="0000665C">
        <w:rPr>
          <w:lang w:val="en-US"/>
        </w:rPr>
        <w:t>. 3-16.</w:t>
      </w:r>
    </w:p>
    <w:p w14:paraId="03864CF4" w14:textId="77777777" w:rsidR="00F43854" w:rsidRDefault="00F43854" w:rsidP="0000665C">
      <w:pPr>
        <w:rPr>
          <w:lang w:val="en-US"/>
        </w:rPr>
      </w:pPr>
    </w:p>
    <w:p w14:paraId="5328AED6" w14:textId="67EAFF13" w:rsidR="0000665C" w:rsidRPr="00F43854" w:rsidRDefault="0000665C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t>Spring 2021</w:t>
      </w:r>
    </w:p>
    <w:p w14:paraId="64A3E7C9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Cedar, D. and Thompson, A., “Reinsurance Accounting &amp; Strategy</w:t>
      </w:r>
    </w:p>
    <w:p w14:paraId="1FC85540" w14:textId="7EFFEAC0" w:rsidR="0000665C" w:rsidRDefault="0000665C" w:rsidP="0000665C">
      <w:pPr>
        <w:rPr>
          <w:lang w:val="en-US"/>
        </w:rPr>
      </w:pPr>
      <w:r w:rsidRPr="0000665C">
        <w:rPr>
          <w:lang w:val="en-US"/>
        </w:rPr>
        <w:t>for the Actuary,” CAS Study Note, January 2020.</w:t>
      </w:r>
    </w:p>
    <w:p w14:paraId="55F5059F" w14:textId="77777777" w:rsidR="00F43854" w:rsidRDefault="00F43854" w:rsidP="0000665C">
      <w:pPr>
        <w:rPr>
          <w:lang w:val="en-US"/>
        </w:rPr>
      </w:pPr>
    </w:p>
    <w:p w14:paraId="58D6D1B6" w14:textId="77777777" w:rsidR="00F43854" w:rsidRPr="00F43854" w:rsidRDefault="00F43854" w:rsidP="00F43854">
      <w:pPr>
        <w:rPr>
          <w:lang w:val="en-US"/>
        </w:rPr>
      </w:pPr>
      <w:r w:rsidRPr="00F43854">
        <w:rPr>
          <w:lang w:val="en-US"/>
        </w:rPr>
        <w:t>National Association of Insurance Commissioners, The Center for</w:t>
      </w:r>
    </w:p>
    <w:p w14:paraId="44380D2E" w14:textId="77777777" w:rsidR="00F43854" w:rsidRPr="00F43854" w:rsidRDefault="00F43854" w:rsidP="00F43854">
      <w:pPr>
        <w:rPr>
          <w:lang w:val="en-US"/>
        </w:rPr>
      </w:pPr>
      <w:r w:rsidRPr="00F43854">
        <w:rPr>
          <w:lang w:val="en-US"/>
        </w:rPr>
        <w:t>Insurance Policy and Research, Risk Retention Groups, updated</w:t>
      </w:r>
    </w:p>
    <w:p w14:paraId="093EC8B4" w14:textId="355E844A" w:rsidR="00F43854" w:rsidRDefault="00F43854" w:rsidP="00F43854">
      <w:pPr>
        <w:rPr>
          <w:lang w:val="en-US"/>
        </w:rPr>
      </w:pPr>
      <w:r w:rsidRPr="00F43854">
        <w:rPr>
          <w:lang w:val="en-US"/>
        </w:rPr>
        <w:t>May 31, 2019.</w:t>
      </w:r>
    </w:p>
    <w:p w14:paraId="492AD515" w14:textId="77777777" w:rsidR="00F43854" w:rsidRDefault="00F43854" w:rsidP="00F43854">
      <w:pPr>
        <w:rPr>
          <w:lang w:val="en-US"/>
        </w:rPr>
      </w:pPr>
    </w:p>
    <w:p w14:paraId="11A8429E" w14:textId="77777777" w:rsidR="00F43854" w:rsidRPr="00F43854" w:rsidRDefault="00F43854" w:rsidP="00F43854">
      <w:pPr>
        <w:rPr>
          <w:lang w:val="en-US"/>
        </w:rPr>
      </w:pPr>
      <w:r w:rsidRPr="00F43854">
        <w:rPr>
          <w:lang w:val="en-US"/>
        </w:rPr>
        <w:t>Webel, B., “Terrorism Risk Insurance: Overview and Issue</w:t>
      </w:r>
    </w:p>
    <w:p w14:paraId="7F106E5A" w14:textId="77777777" w:rsidR="00F43854" w:rsidRPr="00F43854" w:rsidRDefault="00F43854" w:rsidP="00F43854">
      <w:pPr>
        <w:rPr>
          <w:lang w:val="en-US"/>
        </w:rPr>
      </w:pPr>
      <w:r w:rsidRPr="00F43854">
        <w:rPr>
          <w:lang w:val="en-US"/>
        </w:rPr>
        <w:t>Analysis for the 116th Congress,” Congressional Research Service</w:t>
      </w:r>
    </w:p>
    <w:p w14:paraId="3466736C" w14:textId="77777777" w:rsidR="00F43854" w:rsidRPr="00F43854" w:rsidRDefault="00F43854" w:rsidP="00F43854">
      <w:pPr>
        <w:rPr>
          <w:lang w:val="en-US"/>
        </w:rPr>
      </w:pPr>
      <w:r w:rsidRPr="00F43854">
        <w:rPr>
          <w:lang w:val="en-US"/>
        </w:rPr>
        <w:t>R45707, Updated December 27, 2019, Summary page and pp. 1-</w:t>
      </w:r>
    </w:p>
    <w:p w14:paraId="2938D4FF" w14:textId="5966D278" w:rsidR="00F43854" w:rsidRDefault="00F43854" w:rsidP="00F43854">
      <w:pPr>
        <w:rPr>
          <w:lang w:val="en-US"/>
        </w:rPr>
      </w:pPr>
      <w:r w:rsidRPr="00F43854">
        <w:rPr>
          <w:lang w:val="en-US"/>
        </w:rPr>
        <w:t>10, stop at The Terrorism Insurance Market.</w:t>
      </w:r>
    </w:p>
    <w:p w14:paraId="4DAE40EB" w14:textId="77777777" w:rsidR="0000665C" w:rsidRDefault="0000665C">
      <w:pPr>
        <w:rPr>
          <w:lang w:val="en-US"/>
        </w:rPr>
      </w:pPr>
    </w:p>
    <w:p w14:paraId="4F8E33F3" w14:textId="65CC5D6F" w:rsidR="0000665C" w:rsidRPr="00F43854" w:rsidRDefault="0000665C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lastRenderedPageBreak/>
        <w:t>Fall 2021</w:t>
      </w:r>
      <w:r w:rsidR="00F43854">
        <w:rPr>
          <w:b/>
          <w:bCs/>
          <w:lang w:val="en-US"/>
        </w:rPr>
        <w:t>/Spring 2022</w:t>
      </w:r>
    </w:p>
    <w:p w14:paraId="16095EEB" w14:textId="252B4660" w:rsidR="0000665C" w:rsidRDefault="0000665C">
      <w:pPr>
        <w:rPr>
          <w:lang w:val="en-US"/>
        </w:rPr>
      </w:pPr>
      <w:r w:rsidRPr="0000665C">
        <w:rPr>
          <w:lang w:val="en-US"/>
        </w:rPr>
        <w:t>Emmanual, J. N. and Lerner, Z. N., editors, “2020 Excess and Surplus Lines Laws in the United States,”</w:t>
      </w:r>
    </w:p>
    <w:p w14:paraId="58FD1B72" w14:textId="3A9EA51D" w:rsidR="00DB5469" w:rsidRPr="00F43854" w:rsidRDefault="007875E5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t>Fall 2022/Spring 2023</w:t>
      </w:r>
    </w:p>
    <w:p w14:paraId="40F89699" w14:textId="193A0D8A" w:rsidR="007875E5" w:rsidRDefault="00F43854">
      <w:pPr>
        <w:rPr>
          <w:lang w:val="en-US"/>
        </w:rPr>
      </w:pPr>
      <w:r>
        <w:rPr>
          <w:lang w:val="en-US"/>
        </w:rPr>
        <w:t>NA</w:t>
      </w:r>
    </w:p>
    <w:p w14:paraId="47D5C8C0" w14:textId="00E67F4C" w:rsidR="0000665C" w:rsidRPr="00F43854" w:rsidRDefault="0000665C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t>Fall 2023</w:t>
      </w:r>
      <w:r w:rsidR="00DB5469" w:rsidRPr="00F43854">
        <w:rPr>
          <w:b/>
          <w:bCs/>
          <w:lang w:val="en-US"/>
        </w:rPr>
        <w:t xml:space="preserve">/Spring 2024 </w:t>
      </w:r>
    </w:p>
    <w:p w14:paraId="5A763F51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 xml:space="preserve">American Academy of Actuaries, “Estimating the Uncollectible Reinsurance Reserve for Property/Casualty Companies New GAAP Requirements,” July 2019, </w:t>
      </w:r>
      <w:proofErr w:type="spellStart"/>
      <w:r w:rsidRPr="0000665C">
        <w:rPr>
          <w:lang w:val="en-US"/>
        </w:rPr>
        <w:t>pg</w:t>
      </w:r>
      <w:proofErr w:type="spellEnd"/>
      <w:r w:rsidRPr="0000665C">
        <w:rPr>
          <w:lang w:val="en-US"/>
        </w:rPr>
        <w:t xml:space="preserve"> 4-15</w:t>
      </w:r>
    </w:p>
    <w:p w14:paraId="0567E55D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 xml:space="preserve">American Academy of Actuaries, “Retained Property Casualty Insurance-Related Risk: Interaction of Actuarial Analysis and Accounting”, April 2018, </w:t>
      </w:r>
      <w:proofErr w:type="spellStart"/>
      <w:r w:rsidRPr="0000665C">
        <w:rPr>
          <w:lang w:val="en-US"/>
        </w:rPr>
        <w:t>ch</w:t>
      </w:r>
      <w:proofErr w:type="spellEnd"/>
      <w:r w:rsidRPr="0000665C">
        <w:rPr>
          <w:lang w:val="en-US"/>
        </w:rPr>
        <w:t xml:space="preserve"> 1 &amp; 4</w:t>
      </w:r>
    </w:p>
    <w:p w14:paraId="1F83A5B5" w14:textId="0393FBDA" w:rsidR="007875E5" w:rsidRDefault="007875E5" w:rsidP="0000665C">
      <w:pPr>
        <w:rPr>
          <w:lang w:val="en-US"/>
        </w:rPr>
      </w:pPr>
      <w:r w:rsidRPr="007875E5">
        <w:rPr>
          <w:lang w:val="en-US"/>
        </w:rPr>
        <w:t>Brandt, E.A. and Maxwell, L.A., “Risk of Material Adverse Deviation Study Note,” April 2023.</w:t>
      </w:r>
    </w:p>
    <w:p w14:paraId="7DD6D994" w14:textId="300DE129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Casualty Actuarial and Statistical (c) Task Force, Regulatory Review of Predictive Models White Paper, December 2020, Sections I, IV &amp; VII</w:t>
      </w:r>
    </w:p>
    <w:p w14:paraId="3665F6D5" w14:textId="77777777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Federal Insurance Office, Annual Report on the Insurance Industry Completed Pursuant to Title V of the Dodd-Frank Wall Street Reform and Consumer Protection Act, September 2022, Sections I, IA and I-B1</w:t>
      </w:r>
    </w:p>
    <w:p w14:paraId="582E9146" w14:textId="262B445C" w:rsidR="0000665C" w:rsidRPr="00F43854" w:rsidRDefault="0000665C" w:rsidP="0000665C">
      <w:pPr>
        <w:rPr>
          <w:b/>
          <w:bCs/>
          <w:lang w:val="en-US"/>
        </w:rPr>
      </w:pPr>
      <w:r w:rsidRPr="00F43854">
        <w:rPr>
          <w:b/>
          <w:bCs/>
          <w:lang w:val="en-US"/>
        </w:rPr>
        <w:t>Fall 2024</w:t>
      </w:r>
      <w:r w:rsidR="00DB5469" w:rsidRPr="00F43854">
        <w:rPr>
          <w:b/>
          <w:bCs/>
          <w:lang w:val="en-US"/>
        </w:rPr>
        <w:t>/Spring 2025</w:t>
      </w:r>
    </w:p>
    <w:p w14:paraId="1D9FDEC1" w14:textId="0CD708B6" w:rsidR="0000665C" w:rsidRPr="0000665C" w:rsidRDefault="0000665C" w:rsidP="0000665C">
      <w:pPr>
        <w:rPr>
          <w:lang w:val="en-US"/>
        </w:rPr>
      </w:pPr>
      <w:r w:rsidRPr="0000665C">
        <w:rPr>
          <w:lang w:val="en-US"/>
        </w:rPr>
        <w:t>Cole and Marzen - Nuclear Verdicts, Tort Liability, and Legislative Responses</w:t>
      </w:r>
    </w:p>
    <w:p w14:paraId="37E3BC5F" w14:textId="3075E378" w:rsidR="0000665C" w:rsidRDefault="0000665C" w:rsidP="0000665C">
      <w:pPr>
        <w:rPr>
          <w:lang w:val="en-US"/>
        </w:rPr>
      </w:pPr>
      <w:r w:rsidRPr="0000665C">
        <w:rPr>
          <w:lang w:val="en-US"/>
        </w:rPr>
        <w:t>Florida Hurricane Catastrophe Fund</w:t>
      </w:r>
    </w:p>
    <w:sectPr w:rsidR="00006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C"/>
    <w:rsid w:val="0000665C"/>
    <w:rsid w:val="007875E5"/>
    <w:rsid w:val="00CB0406"/>
    <w:rsid w:val="00DB5469"/>
    <w:rsid w:val="00F43854"/>
    <w:rsid w:val="00F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4BAA"/>
  <w15:chartTrackingRefBased/>
  <w15:docId w15:val="{D326C923-03E2-4BE1-9567-EFB683CB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Taylor</dc:creator>
  <cp:keywords/>
  <dc:description/>
  <cp:lastModifiedBy>Eva Taylor</cp:lastModifiedBy>
  <cp:revision>1</cp:revision>
  <dcterms:created xsi:type="dcterms:W3CDTF">2025-03-18T20:50:00Z</dcterms:created>
  <dcterms:modified xsi:type="dcterms:W3CDTF">2025-03-18T23:33:00Z</dcterms:modified>
</cp:coreProperties>
</file>